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4CA5" w:rsidR="001523AA" w:rsidP="00874CA5" w:rsidRDefault="00C43520" w14:paraId="4AA2EFFE" w14:textId="686AE3E2">
      <w:pPr>
        <w:pStyle w:val="Heading2"/>
        <w:spacing w:after="0" w:line="22" w:lineRule="atLeast"/>
        <w:rPr>
          <w:b/>
          <w:bCs w:val="0"/>
        </w:rPr>
      </w:pPr>
      <w:r>
        <w:rPr>
          <w:b/>
          <w:bCs w:val="0"/>
        </w:rPr>
        <w:t>EdTech Evidence Board – call for evidence response</w:t>
      </w:r>
    </w:p>
    <w:p w:rsidRPr="00874CA5" w:rsidR="00874CA5" w:rsidP="00874CA5" w:rsidRDefault="00874CA5" w14:paraId="71EF0E08" w14:textId="77777777">
      <w:pPr>
        <w:spacing w:line="22" w:lineRule="atLeast"/>
        <w:rPr>
          <w:i/>
        </w:rPr>
      </w:pPr>
    </w:p>
    <w:p w:rsidRPr="00874CA5" w:rsidR="009F3F59" w:rsidP="00874CA5" w:rsidRDefault="009F3F59" w14:paraId="4EF605D6" w14:textId="2DCB7909">
      <w:pPr>
        <w:spacing w:line="22" w:lineRule="atLeast"/>
        <w:rPr>
          <w:i/>
        </w:rPr>
      </w:pPr>
      <w:r w:rsidRPr="00874CA5">
        <w:rPr>
          <w:i/>
        </w:rPr>
        <w:t xml:space="preserve">AQA is an independent education charity, providing high quality assessments that are fair, reliable, and support students in their educational journey. Our qualification expertise dates to 1903, when our predecessor boards were founded by five leading universities. Today, we're the largest provider of academic qualifications taught in schools and colleges. We set and mark the papers for over half of all GCSEs and A-levels taken every year. But exams are only part of the story – we also make sure the content of our qualifications support great teaching. </w:t>
      </w:r>
    </w:p>
    <w:p w:rsidRPr="00044A09" w:rsidR="00874CA5" w:rsidP="00874CA5" w:rsidRDefault="00874CA5" w14:paraId="6C63C50E" w14:textId="77777777">
      <w:pPr>
        <w:spacing w:line="22" w:lineRule="atLeast"/>
        <w:rPr>
          <w:i/>
          <w:sz w:val="12"/>
          <w:szCs w:val="12"/>
        </w:rPr>
      </w:pPr>
    </w:p>
    <w:p w:rsidRPr="00874CA5" w:rsidR="009F3F59" w:rsidP="00874CA5" w:rsidRDefault="009F3F59" w14:paraId="4F4ACC17" w14:textId="7AFA38D9">
      <w:pPr>
        <w:spacing w:line="22" w:lineRule="atLeast"/>
        <w:rPr>
          <w:i/>
        </w:rPr>
      </w:pPr>
      <w:r w:rsidRPr="00874CA5">
        <w:rPr>
          <w:i/>
        </w:rPr>
        <w:t xml:space="preserve">Our qualifications are designed to suit a range of abilities and include GCSEs, AS and A-levels, the Extended Project Qualification and Technical Awards. Our qualifications are internationally recognised and taught in more than 40 countries around the world and they're highly valued by employers and universities. </w:t>
      </w:r>
    </w:p>
    <w:p w:rsidRPr="00874CA5" w:rsidR="009F3F59" w:rsidP="00874CA5" w:rsidRDefault="009F3F59" w14:paraId="03847709" w14:textId="77777777">
      <w:pPr>
        <w:spacing w:line="22" w:lineRule="atLeast"/>
        <w:rPr>
          <w:b/>
          <w:bCs/>
        </w:rPr>
      </w:pPr>
    </w:p>
    <w:p w:rsidRPr="00874CA5" w:rsidR="009F3F59" w:rsidP="00874CA5" w:rsidRDefault="009F3F59" w14:paraId="0BD73E3C" w14:textId="2EF0E661">
      <w:pPr>
        <w:spacing w:line="22" w:lineRule="atLeast"/>
        <w:rPr>
          <w:b/>
          <w:bCs/>
        </w:rPr>
      </w:pPr>
      <w:r w:rsidRPr="00874CA5">
        <w:rPr>
          <w:b/>
          <w:bCs/>
        </w:rPr>
        <w:t>How might we define, evidence or measure ‘quality’ in terms of EdTech?</w:t>
      </w:r>
    </w:p>
    <w:p w:rsidRPr="00044A09" w:rsidR="00044A09" w:rsidP="00044A09" w:rsidRDefault="00044A09" w14:paraId="3F2DBA5C" w14:textId="77777777">
      <w:pPr>
        <w:spacing w:line="22" w:lineRule="atLeast"/>
        <w:rPr>
          <w:i/>
          <w:sz w:val="12"/>
          <w:szCs w:val="12"/>
        </w:rPr>
      </w:pPr>
    </w:p>
    <w:p w:rsidRPr="00874CA5" w:rsidR="009F3F59" w:rsidP="00874CA5" w:rsidRDefault="009F3F59" w14:paraId="5B7B2C7B" w14:textId="4A8B9D66">
      <w:pPr>
        <w:spacing w:line="22" w:lineRule="atLeast"/>
      </w:pPr>
      <w:r w:rsidRPr="00874CA5">
        <w:t>EdTech products must ultimately meet the needs of the education setting in which they are being deployed. This includes supporting digital pedagogy (being clear on how technology is adopted to support the methods and practices of teaching, for example through interactivity and personalised learning), allowing learners and teachers to develop digital competencies hence preparing them for the ‘digital world’, and adopting a research and evidence-based approach in their design.</w:t>
      </w:r>
    </w:p>
    <w:p w:rsidRPr="00044A09" w:rsidR="00044A09" w:rsidP="00044A09" w:rsidRDefault="00044A09" w14:paraId="2141B3B1" w14:textId="77777777">
      <w:pPr>
        <w:spacing w:line="22" w:lineRule="atLeast"/>
        <w:rPr>
          <w:i/>
          <w:sz w:val="12"/>
          <w:szCs w:val="12"/>
        </w:rPr>
      </w:pPr>
    </w:p>
    <w:p w:rsidRPr="00874CA5" w:rsidR="009F3F59" w:rsidP="00874CA5" w:rsidRDefault="009F3F59" w14:paraId="1F665CBA" w14:textId="621F9DA6">
      <w:pPr>
        <w:spacing w:line="22" w:lineRule="atLeast"/>
      </w:pPr>
      <w:r w:rsidRPr="00874CA5">
        <w:t xml:space="preserve">Following the 5Es may be a helpful starting point for those wishing to consider the wider impacts of a given EdTech product – effectiveness, efficacy, equity, ethics and environment. While effectiveness checks if the solution could work and is replicable or scalable given varying learning contexts such as differences in curricula, efficacy focuses on whether the solution is actually seen to work in the real world. Measuring equity involves inclusivity of the product and ethics checks how well it follows legal, human rights and data laws and regulations. The environment metric measures how green, eco-friendly and sustainable the product is. </w:t>
      </w:r>
    </w:p>
    <w:p w:rsidRPr="00044A09" w:rsidR="00044A09" w:rsidP="00044A09" w:rsidRDefault="00044A09" w14:paraId="34CB5BDB" w14:textId="77777777">
      <w:pPr>
        <w:spacing w:line="22" w:lineRule="atLeast"/>
        <w:rPr>
          <w:i/>
          <w:sz w:val="12"/>
          <w:szCs w:val="12"/>
        </w:rPr>
      </w:pPr>
    </w:p>
    <w:p w:rsidRPr="00874CA5" w:rsidR="009F3F59" w:rsidP="00874CA5" w:rsidRDefault="009F3F59" w14:paraId="35001095" w14:textId="1B59B7DA">
      <w:pPr>
        <w:spacing w:line="22" w:lineRule="atLeast"/>
        <w:rPr>
          <w:rFonts w:eastAsiaTheme="minorEastAsia"/>
        </w:rPr>
      </w:pPr>
      <w:r w:rsidRPr="00874CA5">
        <w:t xml:space="preserve">In addition, what’s needed for EdTech products leveraging AI technology is a framework that assesses machines like we assess people – so quality would be defined in terms of the knowledge, skills and capabilities we expect the AI to have. For humans, </w:t>
      </w:r>
      <w:r w:rsidRPr="00874CA5">
        <w:rPr>
          <w:rFonts w:eastAsiaTheme="minorEastAsia"/>
        </w:rPr>
        <w:t xml:space="preserve">we use standardised tests and assessments that follow rigorous quality assurance processes to certify what </w:t>
      </w:r>
      <w:r w:rsidRPr="00874CA5">
        <w:t xml:space="preserve">they </w:t>
      </w:r>
      <w:r w:rsidRPr="00874CA5">
        <w:rPr>
          <w:rFonts w:eastAsiaTheme="minorEastAsia"/>
        </w:rPr>
        <w:t xml:space="preserve">can do. For example, we use highly regulated GCSE Maths exams to assess someone's level of maths. But we don't do that for AI. </w:t>
      </w:r>
    </w:p>
    <w:p w:rsidRPr="00044A09" w:rsidR="00044A09" w:rsidP="00044A09" w:rsidRDefault="00044A09" w14:paraId="319655BB" w14:textId="77777777">
      <w:pPr>
        <w:spacing w:line="22" w:lineRule="atLeast"/>
        <w:rPr>
          <w:i/>
          <w:sz w:val="12"/>
          <w:szCs w:val="12"/>
        </w:rPr>
      </w:pPr>
    </w:p>
    <w:p w:rsidRPr="00874CA5" w:rsidR="009F3F59" w:rsidP="00874CA5" w:rsidRDefault="009F3F59" w14:paraId="5E88E2C4" w14:textId="74B9F1CF">
      <w:pPr>
        <w:spacing w:line="22" w:lineRule="atLeast"/>
        <w:rPr>
          <w:rFonts w:eastAsiaTheme="minorEastAsia"/>
        </w:rPr>
      </w:pPr>
      <w:r w:rsidRPr="00874CA5">
        <w:rPr>
          <w:rFonts w:eastAsiaTheme="minorEastAsia"/>
        </w:rPr>
        <w:t xml:space="preserve">In fact, AI companies often use non-standard benchmarks, developed by non-specialists and with limited and opaque quality assurance mechanisms, to make claims about their systems' capabilities. Or they repurpose tests made for people to then claim that the AI achieved mastery in a given domain. But these claims are misleading based on cherry-picked evidence, not rigorous testing. AI-powered EdTech tools should be subjected to rigorous testing – as people are. </w:t>
      </w:r>
    </w:p>
    <w:p w:rsidRPr="00874CA5" w:rsidR="009F3F59" w:rsidP="00874CA5" w:rsidRDefault="009F3F59" w14:paraId="447073B6" w14:textId="77777777">
      <w:pPr>
        <w:spacing w:line="22" w:lineRule="atLeast"/>
        <w:rPr>
          <w:b/>
        </w:rPr>
      </w:pPr>
    </w:p>
    <w:p w:rsidRPr="00874CA5" w:rsidR="009F3F59" w:rsidP="00874CA5" w:rsidRDefault="009F3F59" w14:paraId="2913E649" w14:textId="77777777">
      <w:pPr>
        <w:spacing w:line="22" w:lineRule="atLeast"/>
        <w:rPr>
          <w:b/>
          <w:bCs/>
        </w:rPr>
      </w:pPr>
      <w:r w:rsidRPr="00874CA5">
        <w:rPr>
          <w:b/>
          <w:bCs/>
        </w:rPr>
        <w:t>What types of evidence might be useful in determining the impact (or potential impact) of EdTech products on teaching and learning?</w:t>
      </w:r>
    </w:p>
    <w:p w:rsidRPr="00044A09" w:rsidR="00044A09" w:rsidP="00044A09" w:rsidRDefault="00044A09" w14:paraId="28835423" w14:textId="77777777">
      <w:pPr>
        <w:spacing w:line="22" w:lineRule="atLeast"/>
        <w:rPr>
          <w:i/>
          <w:sz w:val="12"/>
          <w:szCs w:val="12"/>
        </w:rPr>
      </w:pPr>
    </w:p>
    <w:p w:rsidR="009F3F59" w:rsidP="00874CA5" w:rsidRDefault="009F3F59" w14:paraId="7B7637D6" w14:textId="7420A2A6">
      <w:pPr>
        <w:spacing w:line="22" w:lineRule="atLeast"/>
      </w:pPr>
      <w:r w:rsidRPr="00874CA5">
        <w:t>The primary evidence that should be used to measure the impact of EdTech products on teaching and learning is overall student attainment and progress. Other key metrics might include:</w:t>
      </w:r>
    </w:p>
    <w:p w:rsidRPr="00044A09" w:rsidR="00044A09" w:rsidP="00044A09" w:rsidRDefault="00044A09" w14:paraId="02A9B82E" w14:textId="77777777">
      <w:pPr>
        <w:pStyle w:val="ListParagraph"/>
        <w:spacing w:line="22" w:lineRule="atLeast"/>
        <w:ind w:left="360"/>
        <w:rPr>
          <w:i/>
          <w:sz w:val="12"/>
          <w:szCs w:val="12"/>
        </w:rPr>
      </w:pPr>
    </w:p>
    <w:p w:rsidRPr="00874CA5" w:rsidR="009F3F59" w:rsidP="00874CA5" w:rsidRDefault="009F3F59" w14:paraId="01490B3A" w14:textId="77777777">
      <w:pPr>
        <w:pStyle w:val="ListParagraph"/>
        <w:numPr>
          <w:ilvl w:val="0"/>
          <w:numId w:val="6"/>
        </w:numPr>
        <w:spacing w:line="22" w:lineRule="atLeast"/>
      </w:pPr>
      <w:r w:rsidRPr="00874CA5">
        <w:rPr>
          <w:b/>
          <w:bCs/>
        </w:rPr>
        <w:t>Time saved</w:t>
      </w:r>
      <w:r w:rsidRPr="00874CA5">
        <w:t xml:space="preserve"> such as in communication, curriculum planning and resourcing, assessments and marking</w:t>
      </w:r>
    </w:p>
    <w:p w:rsidRPr="00874CA5" w:rsidR="009F3F59" w:rsidP="00874CA5" w:rsidRDefault="009F3F59" w14:paraId="6A40548F" w14:textId="77777777">
      <w:pPr>
        <w:pStyle w:val="ListParagraph"/>
        <w:numPr>
          <w:ilvl w:val="0"/>
          <w:numId w:val="6"/>
        </w:numPr>
        <w:spacing w:line="22" w:lineRule="atLeast"/>
      </w:pPr>
      <w:r w:rsidRPr="00874CA5">
        <w:rPr>
          <w:b/>
          <w:bCs/>
        </w:rPr>
        <w:lastRenderedPageBreak/>
        <w:t>Students’ engagement</w:t>
      </w:r>
      <w:r w:rsidRPr="00874CA5">
        <w:t xml:space="preserve"> with and attitudes towards their learning and progress such as attendance, homework completion rates, measuring effort, etc</w:t>
      </w:r>
    </w:p>
    <w:p w:rsidRPr="00874CA5" w:rsidR="009F3F59" w:rsidP="00874CA5" w:rsidRDefault="009F3F59" w14:paraId="40F8DD66" w14:textId="77777777">
      <w:pPr>
        <w:pStyle w:val="ListParagraph"/>
        <w:numPr>
          <w:ilvl w:val="0"/>
          <w:numId w:val="6"/>
        </w:numPr>
        <w:spacing w:line="22" w:lineRule="atLeast"/>
      </w:pPr>
      <w:r w:rsidRPr="00874CA5">
        <w:rPr>
          <w:b/>
          <w:bCs/>
        </w:rPr>
        <w:t>SEND students’ progress</w:t>
      </w:r>
      <w:r w:rsidRPr="00874CA5">
        <w:t xml:space="preserve"> with tools aimed at improving access to the curriculum</w:t>
      </w:r>
    </w:p>
    <w:p w:rsidRPr="00874CA5" w:rsidR="009F3F59" w:rsidP="00874CA5" w:rsidRDefault="009F3F59" w14:paraId="26526321" w14:textId="77777777">
      <w:pPr>
        <w:pStyle w:val="ListParagraph"/>
        <w:numPr>
          <w:ilvl w:val="0"/>
          <w:numId w:val="6"/>
        </w:numPr>
        <w:spacing w:line="22" w:lineRule="atLeast"/>
      </w:pPr>
      <w:r w:rsidRPr="00874CA5">
        <w:rPr>
          <w:b/>
          <w:bCs/>
        </w:rPr>
        <w:t>Teacher workload</w:t>
      </w:r>
      <w:r w:rsidRPr="00874CA5">
        <w:t xml:space="preserve"> reduction such as with videoconference parents’ evenings, liaising with external agencies and stakeholders</w:t>
      </w:r>
    </w:p>
    <w:p w:rsidRPr="00874CA5" w:rsidR="009F3F59" w:rsidP="00874CA5" w:rsidRDefault="009F3F59" w14:paraId="41B1B0FF" w14:textId="77777777">
      <w:pPr>
        <w:pStyle w:val="ListParagraph"/>
        <w:numPr>
          <w:ilvl w:val="0"/>
          <w:numId w:val="6"/>
        </w:numPr>
        <w:spacing w:line="22" w:lineRule="atLeast"/>
      </w:pPr>
      <w:r w:rsidRPr="00874CA5">
        <w:rPr>
          <w:b/>
          <w:bCs/>
        </w:rPr>
        <w:t>Data-driven decision making</w:t>
      </w:r>
      <w:r w:rsidRPr="00874CA5">
        <w:t xml:space="preserve"> that supports agile curricula to maximise the effectiveness of teaching and learning</w:t>
      </w:r>
    </w:p>
    <w:p w:rsidRPr="00874CA5" w:rsidR="009F3F59" w:rsidP="00874CA5" w:rsidRDefault="009F3F59" w14:paraId="58DFEF77" w14:textId="77777777">
      <w:pPr>
        <w:spacing w:line="22" w:lineRule="atLeast"/>
        <w:rPr>
          <w:b/>
          <w:bCs/>
        </w:rPr>
      </w:pPr>
    </w:p>
    <w:p w:rsidR="009F3F59" w:rsidP="00874CA5" w:rsidRDefault="00652860" w14:paraId="21F2975A" w14:textId="76F1E50A">
      <w:pPr>
        <w:spacing w:line="22" w:lineRule="atLeast"/>
        <w:rPr>
          <w:b/>
          <w:bCs/>
        </w:rPr>
      </w:pPr>
      <w:r>
        <w:rPr>
          <w:b/>
          <w:bCs/>
        </w:rPr>
        <w:t>What does the research say?</w:t>
      </w:r>
    </w:p>
    <w:p w:rsidRPr="00044A09" w:rsidR="00044A09" w:rsidP="00044A09" w:rsidRDefault="00044A09" w14:paraId="5E25D9D9" w14:textId="77777777">
      <w:pPr>
        <w:spacing w:line="22" w:lineRule="atLeast"/>
        <w:rPr>
          <w:i/>
          <w:sz w:val="12"/>
          <w:szCs w:val="12"/>
        </w:rPr>
      </w:pPr>
    </w:p>
    <w:p w:rsidR="009F3F59" w:rsidP="00874CA5" w:rsidRDefault="009F3F59" w14:paraId="72A5197B" w14:textId="77777777">
      <w:pPr>
        <w:spacing w:line="22" w:lineRule="atLeast"/>
        <w:rPr>
          <w:rFonts w:eastAsia="Aptos" w:cs="Aptos"/>
        </w:rPr>
      </w:pPr>
      <w:r w:rsidRPr="00874CA5">
        <w:rPr>
          <w:rFonts w:eastAsia="Aptos" w:cs="Aptos"/>
        </w:rPr>
        <w:t xml:space="preserve">AQA analysis of the existing research suggests that: </w:t>
      </w:r>
    </w:p>
    <w:p w:rsidRPr="00044A09" w:rsidR="00044A09" w:rsidP="00044A09" w:rsidRDefault="00044A09" w14:paraId="78E6CBE2" w14:textId="77777777">
      <w:pPr>
        <w:pStyle w:val="ListParagraph"/>
        <w:spacing w:line="22" w:lineRule="atLeast"/>
        <w:ind w:left="360"/>
        <w:rPr>
          <w:i/>
          <w:sz w:val="12"/>
          <w:szCs w:val="12"/>
        </w:rPr>
      </w:pPr>
    </w:p>
    <w:p w:rsidRPr="00874CA5" w:rsidR="009F3F59" w:rsidP="00874CA5" w:rsidRDefault="009F3F59" w14:paraId="42CF6FF5" w14:textId="7587B149">
      <w:pPr>
        <w:pStyle w:val="ListParagraph"/>
        <w:numPr>
          <w:ilvl w:val="0"/>
          <w:numId w:val="5"/>
        </w:numPr>
        <w:spacing w:line="22" w:lineRule="atLeast"/>
      </w:pPr>
      <w:r w:rsidRPr="00874CA5">
        <w:t xml:space="preserve">Schools require support for </w:t>
      </w:r>
      <w:r w:rsidRPr="00874CA5">
        <w:rPr>
          <w:b/>
          <w:bCs/>
        </w:rPr>
        <w:t xml:space="preserve">understanding what digital fluency </w:t>
      </w:r>
      <w:r w:rsidRPr="00874CA5">
        <w:t xml:space="preserve">should look like for their teachers and students. Irrespective of students growing up on digital devices, there are still gaps that exist in their knowledge which limits their best use of these technologies. This is something AQA has </w:t>
      </w:r>
      <w:hyperlink w:history="1" r:id="rId8">
        <w:r w:rsidRPr="00652860">
          <w:rPr>
            <w:rStyle w:val="Hyperlink"/>
            <w:b/>
            <w:bCs/>
          </w:rPr>
          <w:t>written about in detail here</w:t>
        </w:r>
      </w:hyperlink>
      <w:r w:rsidR="00652860">
        <w:t>.</w:t>
      </w:r>
      <w:r w:rsidRPr="00874CA5">
        <w:t xml:space="preserve"> </w:t>
      </w:r>
    </w:p>
    <w:p w:rsidRPr="00874CA5" w:rsidR="009F3F59" w:rsidP="00874CA5" w:rsidRDefault="009F3F59" w14:paraId="2B06CF9D" w14:textId="77777777">
      <w:pPr>
        <w:pStyle w:val="ListParagraph"/>
        <w:numPr>
          <w:ilvl w:val="0"/>
          <w:numId w:val="5"/>
        </w:numPr>
        <w:spacing w:line="22" w:lineRule="atLeast"/>
        <w:rPr>
          <w:rFonts w:eastAsia="Aptos" w:cs="Aptos"/>
        </w:rPr>
      </w:pPr>
      <w:r w:rsidRPr="00874CA5">
        <w:rPr>
          <w:rFonts w:eastAsia="Aptos" w:cs="Aptos"/>
        </w:rPr>
        <w:t xml:space="preserve">To make student assessment data useful for teachers and to help it inform their teaching, </w:t>
      </w:r>
      <w:r w:rsidRPr="00874CA5">
        <w:rPr>
          <w:rFonts w:eastAsia="Aptos" w:cs="Aptos"/>
          <w:b/>
          <w:bCs/>
        </w:rPr>
        <w:t>there is a need to focus on teacher statistical and mathematical literacy</w:t>
      </w:r>
      <w:r w:rsidRPr="00874CA5">
        <w:rPr>
          <w:rFonts w:eastAsia="Aptos" w:cs="Aptos"/>
        </w:rPr>
        <w:t>. The main barrier to effective use of assessment</w:t>
      </w:r>
      <w:r w:rsidRPr="00874CA5">
        <w:rPr>
          <w:rFonts w:eastAsia="Aptos" w:cs="Aptos"/>
          <w:b/>
          <w:bCs/>
        </w:rPr>
        <w:t xml:space="preserve"> </w:t>
      </w:r>
      <w:r w:rsidRPr="00874CA5">
        <w:rPr>
          <w:rFonts w:eastAsia="Aptos" w:cs="Aptos"/>
        </w:rPr>
        <w:t>data and related tools is the technical, contextual, interpretive and critical capacities of teaching staff</w:t>
      </w:r>
    </w:p>
    <w:p w:rsidRPr="00874CA5" w:rsidR="009F3F59" w:rsidP="00874CA5" w:rsidRDefault="009F3F59" w14:paraId="3F578A0F" w14:textId="77777777">
      <w:pPr>
        <w:pStyle w:val="ListParagraph"/>
        <w:numPr>
          <w:ilvl w:val="0"/>
          <w:numId w:val="5"/>
        </w:numPr>
        <w:spacing w:line="22" w:lineRule="atLeast"/>
        <w:rPr>
          <w:rFonts w:eastAsia="Aptos" w:cs="Aptos"/>
        </w:rPr>
      </w:pPr>
      <w:r w:rsidRPr="00874CA5">
        <w:rPr>
          <w:rFonts w:eastAsia="Aptos" w:cs="Aptos"/>
          <w:b/>
          <w:bCs/>
        </w:rPr>
        <w:t>Learning analytics (LA) dashboards can be complex to interpret</w:t>
      </w:r>
      <w:r w:rsidRPr="00874CA5">
        <w:rPr>
          <w:rFonts w:eastAsia="Aptos" w:cs="Aptos"/>
        </w:rPr>
        <w:t>, are often not based on educational theory, and frequently provide little or no guidance on how to interpret them. The LA field can draw inspiration from how other sciences and design disciplines have learnt to communicate complex information in engaging ways.</w:t>
      </w:r>
    </w:p>
    <w:p w:rsidRPr="00874CA5" w:rsidR="009F3F59" w:rsidP="00874CA5" w:rsidRDefault="009F3F59" w14:paraId="1C583AFE" w14:textId="77777777">
      <w:pPr>
        <w:pStyle w:val="ListParagraph"/>
        <w:numPr>
          <w:ilvl w:val="0"/>
          <w:numId w:val="5"/>
        </w:numPr>
        <w:spacing w:line="22" w:lineRule="atLeast"/>
        <w:rPr>
          <w:b/>
          <w:bCs/>
        </w:rPr>
      </w:pPr>
      <w:r w:rsidRPr="00874CA5">
        <w:t xml:space="preserve">There is the need to </w:t>
      </w:r>
      <w:r w:rsidRPr="00874CA5">
        <w:rPr>
          <w:b/>
          <w:bCs/>
        </w:rPr>
        <w:t xml:space="preserve">balance students’ independent and safe and proper use </w:t>
      </w:r>
      <w:r w:rsidRPr="00874CA5">
        <w:t>of tech in schools against the potential risks. Internet filtering, safeguarding, minimising distractions, while building trust in students’ behaviours especially with using Generative AI, all needs to be accounted for</w:t>
      </w:r>
    </w:p>
    <w:p w:rsidRPr="00044A09" w:rsidR="00044A09" w:rsidP="00044A09" w:rsidRDefault="00044A09" w14:paraId="31F04CC1" w14:textId="77777777">
      <w:pPr>
        <w:pStyle w:val="ListParagraph"/>
        <w:spacing w:line="22" w:lineRule="atLeast"/>
        <w:ind w:left="360"/>
        <w:rPr>
          <w:i/>
          <w:sz w:val="12"/>
          <w:szCs w:val="12"/>
        </w:rPr>
      </w:pPr>
    </w:p>
    <w:p w:rsidRPr="00874CA5" w:rsidR="009F3F59" w:rsidP="00874CA5" w:rsidRDefault="009F3F59" w14:paraId="2FFD146A" w14:textId="550A3DB4">
      <w:pPr>
        <w:spacing w:line="22" w:lineRule="atLeast"/>
      </w:pPr>
      <w:r w:rsidR="009F3F59">
        <w:rPr/>
        <w:t xml:space="preserve">As an organisation AQA is already using EdTech to build and enhance our work, notably through </w:t>
      </w:r>
      <w:r w:rsidRPr="2DB0C587" w:rsidR="009F3F59">
        <w:rPr>
          <w:b w:val="1"/>
          <w:bCs w:val="1"/>
        </w:rPr>
        <w:t xml:space="preserve">the development of </w:t>
      </w:r>
      <w:hyperlink r:id="Rcda3a14a0e354ed1">
        <w:r w:rsidRPr="2DB0C587" w:rsidR="009F3F59">
          <w:rPr>
            <w:rStyle w:val="Hyperlink"/>
            <w:b w:val="1"/>
            <w:bCs w:val="1"/>
          </w:rPr>
          <w:t xml:space="preserve">AQA </w:t>
        </w:r>
        <w:r w:rsidRPr="2DB0C587" w:rsidR="009F3F59">
          <w:rPr>
            <w:rStyle w:val="Hyperlink"/>
            <w:b w:val="1"/>
            <w:bCs w:val="1"/>
          </w:rPr>
          <w:t>Stride</w:t>
        </w:r>
      </w:hyperlink>
      <w:r w:rsidRPr="2DB0C587" w:rsidR="009F3F59">
        <w:rPr>
          <w:b w:val="1"/>
          <w:bCs w:val="1"/>
        </w:rPr>
        <w:t xml:space="preserve"> </w:t>
      </w:r>
      <w:r w:rsidR="009F3F59">
        <w:rPr/>
        <w:t>,</w:t>
      </w:r>
      <w:r w:rsidR="009F3F59">
        <w:rPr/>
        <w:t xml:space="preserve"> which is designed to be adaptive and personalised to the student such that the system uses the responses provided to select the next, most </w:t>
      </w:r>
      <w:r w:rsidR="009F3F59">
        <w:rPr/>
        <w:t>appropriate question</w:t>
      </w:r>
      <w:r w:rsidR="009F3F59">
        <w:rPr/>
        <w:t xml:space="preserve">. </w:t>
      </w:r>
    </w:p>
    <w:p w:rsidRPr="00044A09" w:rsidR="00044A09" w:rsidP="00044A09" w:rsidRDefault="00044A09" w14:paraId="2116BFAA" w14:textId="77777777">
      <w:pPr>
        <w:spacing w:line="22" w:lineRule="atLeast"/>
        <w:rPr>
          <w:i/>
          <w:sz w:val="12"/>
          <w:szCs w:val="12"/>
        </w:rPr>
      </w:pPr>
    </w:p>
    <w:p w:rsidR="009F3F59" w:rsidP="00874CA5" w:rsidRDefault="009F3F59" w14:paraId="1B04F350" w14:textId="15A24795">
      <w:pPr>
        <w:spacing w:line="22" w:lineRule="atLeast"/>
      </w:pPr>
      <w:r w:rsidRPr="00874CA5">
        <w:t xml:space="preserve">AQA Stride </w:t>
      </w:r>
      <w:r w:rsidRPr="00874CA5">
        <w:rPr>
          <w:b/>
          <w:bCs/>
        </w:rPr>
        <w:t xml:space="preserve">helps teachers to tackle knowledge gaps from much earlier in the students’ education journey </w:t>
      </w:r>
      <w:r w:rsidRPr="00874CA5">
        <w:t>to tailor a support package to that student. This approach could revolutionise the way we teach students who are struggling, including those who come from disadvantaged backgrounds, who have interacted with the care system, young people with SEND and those taught in non-traditional settings.</w:t>
      </w:r>
    </w:p>
    <w:p w:rsidRPr="00044A09" w:rsidR="00044A09" w:rsidP="00044A09" w:rsidRDefault="00044A09" w14:paraId="7FEE9A4C" w14:textId="77777777">
      <w:pPr>
        <w:spacing w:line="22" w:lineRule="atLeast"/>
        <w:rPr>
          <w:i/>
          <w:sz w:val="12"/>
          <w:szCs w:val="12"/>
        </w:rPr>
      </w:pPr>
    </w:p>
    <w:p w:rsidR="00652860" w:rsidP="00874CA5" w:rsidRDefault="009F3F59" w14:paraId="683536EC" w14:textId="7DFCC5BA">
      <w:pPr>
        <w:spacing w:line="22" w:lineRule="atLeast"/>
      </w:pPr>
      <w:r w:rsidRPr="00874CA5">
        <w:t>AQA Stride can help solve many of the key challenges schools and the sector face, by:</w:t>
      </w:r>
    </w:p>
    <w:p w:rsidRPr="00044A09" w:rsidR="00044A09" w:rsidP="00044A09" w:rsidRDefault="00044A09" w14:paraId="246017E1" w14:textId="77777777">
      <w:pPr>
        <w:pStyle w:val="ListParagraph"/>
        <w:spacing w:line="22" w:lineRule="atLeast"/>
        <w:rPr>
          <w:i/>
          <w:sz w:val="12"/>
          <w:szCs w:val="12"/>
        </w:rPr>
      </w:pPr>
    </w:p>
    <w:p w:rsidRPr="00874CA5" w:rsidR="009F3F59" w:rsidP="00874CA5" w:rsidRDefault="009F3F59" w14:paraId="498E8EC7" w14:textId="77777777">
      <w:pPr>
        <w:pStyle w:val="ListParagraph"/>
        <w:numPr>
          <w:ilvl w:val="0"/>
          <w:numId w:val="4"/>
        </w:numPr>
        <w:spacing w:line="22" w:lineRule="atLeast"/>
        <w:ind w:left="284" w:hanging="284"/>
      </w:pPr>
      <w:r w:rsidRPr="00874CA5">
        <w:rPr>
          <w:b/>
          <w:bCs/>
        </w:rPr>
        <w:t>Easing teacher time and workload</w:t>
      </w:r>
      <w:r w:rsidRPr="00874CA5">
        <w:t xml:space="preserve"> through faster assessment of knowledge gaps and avoiding re-teaching concepts the student already grasps well</w:t>
      </w:r>
    </w:p>
    <w:p w:rsidRPr="00874CA5" w:rsidR="009F3F59" w:rsidP="00874CA5" w:rsidRDefault="009F3F59" w14:paraId="7D08420E" w14:textId="77777777">
      <w:pPr>
        <w:pStyle w:val="ListParagraph"/>
        <w:numPr>
          <w:ilvl w:val="0"/>
          <w:numId w:val="4"/>
        </w:numPr>
        <w:spacing w:line="22" w:lineRule="atLeast"/>
        <w:ind w:left="284" w:hanging="284"/>
      </w:pPr>
      <w:r w:rsidRPr="00874CA5">
        <w:rPr>
          <w:b/>
          <w:bCs/>
        </w:rPr>
        <w:t>Raising standards for all</w:t>
      </w:r>
      <w:r w:rsidRPr="00874CA5">
        <w:t xml:space="preserve"> by pinpointing specific areas of learning to target</w:t>
      </w:r>
    </w:p>
    <w:p w:rsidRPr="00874CA5" w:rsidR="009F3F59" w:rsidP="00874CA5" w:rsidRDefault="009F3F59" w14:paraId="40DB0427" w14:textId="77777777">
      <w:pPr>
        <w:pStyle w:val="ListParagraph"/>
        <w:numPr>
          <w:ilvl w:val="0"/>
          <w:numId w:val="4"/>
        </w:numPr>
        <w:spacing w:line="22" w:lineRule="atLeast"/>
        <w:ind w:left="284" w:hanging="284"/>
      </w:pPr>
      <w:r w:rsidRPr="00874CA5">
        <w:rPr>
          <w:b/>
          <w:bCs/>
        </w:rPr>
        <w:t xml:space="preserve">Producing data, insights and analysis </w:t>
      </w:r>
      <w:r w:rsidRPr="00874CA5">
        <w:t>to help inform education policy, curriculum design and teacher training</w:t>
      </w:r>
    </w:p>
    <w:p w:rsidR="00874CA5" w:rsidP="00874CA5" w:rsidRDefault="00874CA5" w14:paraId="14EC8A16" w14:textId="77777777">
      <w:pPr>
        <w:tabs>
          <w:tab w:val="left" w:pos="2552"/>
        </w:tabs>
        <w:spacing w:line="22" w:lineRule="atLeast"/>
        <w:rPr>
          <w:b/>
          <w:bCs/>
          <w:u w:val="single"/>
        </w:rPr>
      </w:pPr>
    </w:p>
    <w:p w:rsidRPr="00652860" w:rsidR="00003E83" w:rsidP="00874CA5" w:rsidRDefault="009F3F59" w14:paraId="0BEEF870" w14:textId="323B71EE">
      <w:pPr>
        <w:tabs>
          <w:tab w:val="left" w:pos="2552"/>
        </w:tabs>
        <w:spacing w:line="22" w:lineRule="atLeast"/>
      </w:pPr>
      <w:r w:rsidRPr="00652860">
        <w:rPr>
          <w:b/>
          <w:bCs/>
        </w:rPr>
        <w:t>There is, of course, significantly more detail underpinning the responses we have given in this submission. We would therefore be delighted to discuss any of this in more detail with the board if that would be of interest.</w:t>
      </w:r>
      <w:r w:rsidR="00652860">
        <w:rPr>
          <w:b/>
          <w:bCs/>
        </w:rPr>
        <w:t xml:space="preserve"> Please contact </w:t>
      </w:r>
      <w:hyperlink w:history="1" r:id="rId9">
        <w:r w:rsidRPr="00F41D57" w:rsidR="00652860">
          <w:rPr>
            <w:rStyle w:val="Hyperlink"/>
            <w:b/>
            <w:bCs/>
          </w:rPr>
          <w:t>policy@aqa.org.uk</w:t>
        </w:r>
      </w:hyperlink>
      <w:r w:rsidR="00652860">
        <w:rPr>
          <w:b/>
          <w:bCs/>
        </w:rPr>
        <w:t xml:space="preserve"> </w:t>
      </w:r>
    </w:p>
    <w:sectPr w:rsidRPr="00652860" w:rsidR="00003E83" w:rsidSect="004D6EDF">
      <w:headerReference w:type="default" r:id="rId10"/>
      <w:footerReference w:type="default" r:id="rId11"/>
      <w:headerReference w:type="first" r:id="rId12"/>
      <w:footerReference w:type="first" r:id="rId13"/>
      <w:pgSz w:w="11906" w:h="16838" w:orient="portrait" w:code="9"/>
      <w:pgMar w:top="1134" w:right="1134"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79C" w:rsidRDefault="00CF679C" w14:paraId="6F337BF5" w14:textId="77777777">
      <w:pPr>
        <w:spacing w:line="240" w:lineRule="auto"/>
      </w:pPr>
      <w:r>
        <w:separator/>
      </w:r>
    </w:p>
  </w:endnote>
  <w:endnote w:type="continuationSeparator" w:id="0">
    <w:p w:rsidR="00CF679C" w:rsidRDefault="00CF679C" w14:paraId="73B6CEEE" w14:textId="77777777">
      <w:pPr>
        <w:spacing w:line="240" w:lineRule="auto"/>
      </w:pPr>
      <w:r>
        <w:continuationSeparator/>
      </w:r>
    </w:p>
  </w:endnote>
  <w:endnote w:type="continuationNotice" w:id="1">
    <w:p w:rsidR="00CF679C" w:rsidRDefault="00CF679C" w14:paraId="34860FE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altName w:val="Arial"/>
    <w:panose1 w:val="020B0503030403020204"/>
    <w:charset w:val="00"/>
    <w:family w:val="swiss"/>
    <w:pitch w:val="variable"/>
    <w:sig w:usb0="600002F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QA Chevin Pro Light">
    <w:panose1 w:val="020F0303030000060003"/>
    <w:charset w:val="00"/>
    <w:family w:val="swiss"/>
    <w:pitch w:val="variable"/>
    <w:sig w:usb0="800002AF" w:usb1="5000204A" w:usb2="00000000" w:usb3="00000000" w:csb0="0000009F" w:csb1="00000000"/>
  </w:font>
  <w:font w:name="Source Sans Pro Light">
    <w:panose1 w:val="020B0403030403020204"/>
    <w:charset w:val="00"/>
    <w:family w:val="swiss"/>
    <w:pitch w:val="variable"/>
    <w:sig w:usb0="600002F7" w:usb1="02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654"/>
      <w:gridCol w:w="1984"/>
    </w:tblGrid>
    <w:tr w:rsidRPr="00962015" w:rsidR="006955C6" w:rsidTr="00D82A92" w14:paraId="4E973818" w14:textId="77777777">
      <w:trPr>
        <w:trHeight w:val="397" w:hRule="exact"/>
      </w:trPr>
      <w:tc>
        <w:tcPr>
          <w:tcW w:w="7655" w:type="dxa"/>
        </w:tcPr>
        <w:p w:rsidR="00A11E83" w:rsidP="00417211" w:rsidRDefault="00C43520" w14:paraId="525F5C37" w14:textId="0309ED01">
          <w:pPr>
            <w:pStyle w:val="AQAfooter8ptleftaligned"/>
          </w:pPr>
          <w:sdt>
            <w:sdtPr>
              <w:id w:val="1031913303"/>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dropDownList>
            </w:sdtPr>
            <w:sdtEndPr/>
            <w:sdtContent>
              <w:r w:rsidR="005D7E92">
                <w:t>Non-confidential</w:t>
              </w:r>
            </w:sdtContent>
          </w:sdt>
        </w:p>
      </w:tc>
      <w:tc>
        <w:tcPr>
          <w:tcW w:w="1984" w:type="dxa"/>
        </w:tcPr>
        <w:p w:rsidRPr="00962015" w:rsidR="00A11E83" w:rsidP="00417211" w:rsidRDefault="00836723" w14:paraId="2F619B80" w14:textId="77777777">
          <w:pPr>
            <w:pStyle w:val="AQAfooter8ptrightaligned"/>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r>
            <w:rPr>
              <w:noProof/>
            </w:rPr>
            <w:t xml:space="preserve"> </w:t>
          </w:r>
        </w:p>
      </w:tc>
    </w:tr>
  </w:tbl>
  <w:p w:rsidR="00A11E83" w:rsidP="00DA3DE7" w:rsidRDefault="00836723" w14:paraId="1A4FCC35" w14:textId="77777777">
    <w:pPr>
      <w:pStyle w:val="Footer"/>
    </w:pPr>
    <w:r>
      <w:rPr>
        <w:noProof/>
      </w:rPr>
      <mc:AlternateContent>
        <mc:Choice Requires="wps">
          <w:drawing>
            <wp:anchor distT="4294967295" distB="4294967295" distL="114300" distR="114300" simplePos="0" relativeHeight="251658243" behindDoc="0" locked="0" layoutInCell="1" allowOverlap="1" wp14:anchorId="193727A3" wp14:editId="73F85B33">
              <wp:simplePos x="0" y="0"/>
              <wp:positionH relativeFrom="page">
                <wp:posOffset>0</wp:posOffset>
              </wp:positionH>
              <wp:positionV relativeFrom="page">
                <wp:posOffset>10153014</wp:posOffset>
              </wp:positionV>
              <wp:extent cx="6840220" cy="0"/>
              <wp:effectExtent l="0" t="0" r="17780"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style="position:absolute;flip:y;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o:spid="_x0000_s1026" strokeweight=".6pt" from="0,799.45pt" to="538.6pt,799.45pt" w14:anchorId="01371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58242" behindDoc="0" locked="0" layoutInCell="1" allowOverlap="1" wp14:anchorId="19CF9C34" wp14:editId="4CA8474A">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flip:y;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o:spid="_x0000_s1026" strokeweight=".6pt" from="0,799.45pt" to="538.6pt,799.45pt" w14:anchorId="4EE95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v:stroke joinstyle="miter"/>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654"/>
      <w:gridCol w:w="1984"/>
    </w:tblGrid>
    <w:tr w:rsidR="006955C6" w:rsidTr="00D82A92" w14:paraId="14B6800C" w14:textId="77777777">
      <w:trPr>
        <w:trHeight w:val="397" w:hRule="exact"/>
      </w:trPr>
      <w:tc>
        <w:tcPr>
          <w:tcW w:w="7655" w:type="dxa"/>
        </w:tcPr>
        <w:p w:rsidR="00A11E83" w:rsidP="00417211" w:rsidRDefault="00C43520" w14:paraId="492ACF91" w14:textId="5A60CA3B">
          <w:pPr>
            <w:pStyle w:val="AQAfooter8ptleftaligned"/>
          </w:pPr>
          <w:sdt>
            <w:sdtPr>
              <w:id w:val="-1506898960"/>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dropDownList>
            </w:sdtPr>
            <w:sdtEndPr/>
            <w:sdtContent>
              <w:r w:rsidR="002B02FC">
                <w:t>AQA Education (AQA) is a registered charity (number 1073334) and a company limited by guarantee registered in England and Wales (number 3644723). Our registered address is AQA, Devas Street, Manchester M15 6EX.</w:t>
              </w:r>
            </w:sdtContent>
          </w:sdt>
        </w:p>
      </w:tc>
      <w:tc>
        <w:tcPr>
          <w:tcW w:w="1984" w:type="dxa"/>
        </w:tcPr>
        <w:p w:rsidR="00A11E83" w:rsidP="006955C6" w:rsidRDefault="00836723" w14:paraId="0A69B7A2" w14:textId="77777777">
          <w:pPr>
            <w:pStyle w:val="Footer"/>
            <w:jc w:val="right"/>
          </w:pPr>
          <w:r>
            <w:t xml:space="preserve"> </w:t>
          </w:r>
        </w:p>
      </w:tc>
    </w:tr>
  </w:tbl>
  <w:p w:rsidR="00A11E83" w:rsidP="00DA3DE7" w:rsidRDefault="00836723" w14:paraId="385AF6B2" w14:textId="77777777">
    <w:pPr>
      <w:pStyle w:val="Footer"/>
    </w:pPr>
    <w:r>
      <w:rPr>
        <w:noProof/>
      </w:rPr>
      <mc:AlternateContent>
        <mc:Choice Requires="wps">
          <w:drawing>
            <wp:anchor distT="4294967295" distB="4294967295" distL="114300" distR="114300" simplePos="0" relativeHeight="251658241" behindDoc="0" locked="0" layoutInCell="1" allowOverlap="1" wp14:anchorId="168381CF" wp14:editId="4E17AE40">
              <wp:simplePos x="0" y="0"/>
              <wp:positionH relativeFrom="page">
                <wp:posOffset>0</wp:posOffset>
              </wp:positionH>
              <wp:positionV relativeFrom="page">
                <wp:posOffset>10153014</wp:posOffset>
              </wp:positionV>
              <wp:extent cx="6840220" cy="0"/>
              <wp:effectExtent l="0" t="0" r="1778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style="position:absolute;flip:y;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o:spid="_x0000_s1026" strokeweight=".6pt" from="0,799.45pt" to="538.6pt,799.45pt" w14:anchorId="56E61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v:stroke joinstyle="miter"/>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79C" w:rsidRDefault="00CF679C" w14:paraId="1432555A" w14:textId="77777777">
      <w:pPr>
        <w:spacing w:line="240" w:lineRule="auto"/>
      </w:pPr>
      <w:r>
        <w:separator/>
      </w:r>
    </w:p>
  </w:footnote>
  <w:footnote w:type="continuationSeparator" w:id="0">
    <w:p w:rsidR="00CF679C" w:rsidRDefault="00CF679C" w14:paraId="474A07A7" w14:textId="77777777">
      <w:pPr>
        <w:spacing w:line="240" w:lineRule="auto"/>
      </w:pPr>
      <w:r>
        <w:continuationSeparator/>
      </w:r>
    </w:p>
  </w:footnote>
  <w:footnote w:type="continuationNotice" w:id="1">
    <w:p w:rsidR="00CF679C" w:rsidRDefault="00CF679C" w14:paraId="737548F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11E83" w:rsidP="005B0BAA" w:rsidRDefault="00A11E83" w14:paraId="79EDCDAD" w14:textId="77777777">
    <w:pPr>
      <w:pStyle w:val="HeaderAQA"/>
    </w:pPr>
  </w:p>
  <w:p w:rsidR="00A11E83" w:rsidP="00906356" w:rsidRDefault="00836723" w14:paraId="32F85DBC" w14:textId="77777777">
    <w:pPr>
      <w:pStyle w:val="Header"/>
    </w:pPr>
    <w:r>
      <w:rPr>
        <w:noProof/>
      </w:rPr>
      <mc:AlternateContent>
        <mc:Choice Requires="wps">
          <w:drawing>
            <wp:anchor distT="4294967295" distB="4294967295" distL="114300" distR="114300" simplePos="0" relativeHeight="251658240" behindDoc="0" locked="1" layoutInCell="1" allowOverlap="1" wp14:anchorId="7C6C2505" wp14:editId="5BD51944">
              <wp:simplePos x="0" y="0"/>
              <wp:positionH relativeFrom="page">
                <wp:posOffset>0</wp:posOffset>
              </wp:positionH>
              <wp:positionV relativeFrom="page">
                <wp:posOffset>1350009</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412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y;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o:spid="_x0000_s1026" strokecolor="#412878" strokeweight=".6pt" from="0,106.3pt" to="538.6pt,106.3pt" w14:anchorId="75D8D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">
              <v:stroke joinstyle="miter"/>
              <o:lock v:ext="edit" shapetype="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A11E83" w:rsidP="00417211" w:rsidRDefault="00836723" w14:paraId="4CC443BF" w14:textId="77777777">
    <w:pPr>
      <w:pStyle w:val="HeaderAQA"/>
      <w:spacing w:after="600"/>
    </w:pPr>
    <w:r>
      <w:rPr>
        <w:noProof/>
      </w:rPr>
      <w:drawing>
        <wp:anchor distT="0" distB="0" distL="114300" distR="114300" simplePos="0" relativeHeight="251658244" behindDoc="0" locked="0" layoutInCell="1" allowOverlap="1" wp14:anchorId="6EC3B7E6" wp14:editId="6572E079">
          <wp:simplePos x="0" y="0"/>
          <wp:positionH relativeFrom="page">
            <wp:posOffset>-266700</wp:posOffset>
          </wp:positionH>
          <wp:positionV relativeFrom="page">
            <wp:posOffset>1836420</wp:posOffset>
          </wp:positionV>
          <wp:extent cx="824400" cy="576000"/>
          <wp:effectExtent l="0" t="2858" r="0" b="0"/>
          <wp:wrapNone/>
          <wp:docPr id="633307582" name="Graphic 63330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31A6DC8" wp14:editId="27F253BF">
          <wp:extent cx="1511300" cy="876300"/>
          <wp:effectExtent l="0" t="0" r="0" b="0"/>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AEE"/>
    <w:multiLevelType w:val="hybridMultilevel"/>
    <w:tmpl w:val="97B47032"/>
    <w:lvl w:ilvl="0" w:tplc="08090001">
      <w:start w:val="15"/>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A537E3A"/>
    <w:multiLevelType w:val="hybridMultilevel"/>
    <w:tmpl w:val="2B049C78"/>
    <w:lvl w:ilvl="0" w:tplc="08090001">
      <w:start w:val="15"/>
      <w:numFmt w:val="bullet"/>
      <w:lvlText w:val=""/>
      <w:lvlJc w:val="left"/>
      <w:pPr>
        <w:ind w:left="360" w:hanging="360"/>
      </w:pPr>
      <w:rPr>
        <w:rFonts w:hint="default" w:ascii="Symbol" w:hAnsi="Symbol" w:eastAsia="Times New Roman"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ADF59FD"/>
    <w:multiLevelType w:val="hybridMultilevel"/>
    <w:tmpl w:val="33722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03DCA"/>
    <w:multiLevelType w:val="hybridMultilevel"/>
    <w:tmpl w:val="97BEF5B8"/>
    <w:lvl w:ilvl="0" w:tplc="34F8616A">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8E6CEA"/>
    <w:multiLevelType w:val="hybridMultilevel"/>
    <w:tmpl w:val="D0DE7F54"/>
    <w:lvl w:ilvl="0" w:tplc="08090001">
      <w:start w:val="15"/>
      <w:numFmt w:val="bullet"/>
      <w:lvlText w:val=""/>
      <w:lvlJc w:val="left"/>
      <w:pPr>
        <w:ind w:left="360" w:hanging="360"/>
      </w:pPr>
      <w:rPr>
        <w:rFonts w:hint="default" w:ascii="Symbol" w:hAnsi="Symbol" w:eastAsia="Times New Roman"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4EC0AE3"/>
    <w:multiLevelType w:val="hybridMultilevel"/>
    <w:tmpl w:val="FFFFFFFF"/>
    <w:lvl w:ilvl="0" w:tplc="F37A5480">
      <w:start w:val="1"/>
      <w:numFmt w:val="bullet"/>
      <w:lvlText w:val=""/>
      <w:lvlJc w:val="left"/>
      <w:pPr>
        <w:ind w:left="720" w:hanging="360"/>
      </w:pPr>
      <w:rPr>
        <w:rFonts w:hint="default" w:ascii="Symbol" w:hAnsi="Symbol"/>
      </w:rPr>
    </w:lvl>
    <w:lvl w:ilvl="1" w:tplc="43928636">
      <w:start w:val="1"/>
      <w:numFmt w:val="bullet"/>
      <w:lvlText w:val="o"/>
      <w:lvlJc w:val="left"/>
      <w:pPr>
        <w:ind w:left="1440" w:hanging="360"/>
      </w:pPr>
      <w:rPr>
        <w:rFonts w:hint="default" w:ascii="Courier New" w:hAnsi="Courier New"/>
      </w:rPr>
    </w:lvl>
    <w:lvl w:ilvl="2" w:tplc="4EB62504">
      <w:start w:val="1"/>
      <w:numFmt w:val="bullet"/>
      <w:lvlText w:val=""/>
      <w:lvlJc w:val="left"/>
      <w:pPr>
        <w:ind w:left="2160" w:hanging="360"/>
      </w:pPr>
      <w:rPr>
        <w:rFonts w:hint="default" w:ascii="Wingdings" w:hAnsi="Wingdings"/>
      </w:rPr>
    </w:lvl>
    <w:lvl w:ilvl="3" w:tplc="7A3E2660">
      <w:start w:val="1"/>
      <w:numFmt w:val="bullet"/>
      <w:lvlText w:val=""/>
      <w:lvlJc w:val="left"/>
      <w:pPr>
        <w:ind w:left="2880" w:hanging="360"/>
      </w:pPr>
      <w:rPr>
        <w:rFonts w:hint="default" w:ascii="Symbol" w:hAnsi="Symbol"/>
      </w:rPr>
    </w:lvl>
    <w:lvl w:ilvl="4" w:tplc="B21C559E">
      <w:start w:val="1"/>
      <w:numFmt w:val="bullet"/>
      <w:lvlText w:val="o"/>
      <w:lvlJc w:val="left"/>
      <w:pPr>
        <w:ind w:left="3600" w:hanging="360"/>
      </w:pPr>
      <w:rPr>
        <w:rFonts w:hint="default" w:ascii="Courier New" w:hAnsi="Courier New"/>
      </w:rPr>
    </w:lvl>
    <w:lvl w:ilvl="5" w:tplc="0D7465BA">
      <w:start w:val="1"/>
      <w:numFmt w:val="bullet"/>
      <w:lvlText w:val=""/>
      <w:lvlJc w:val="left"/>
      <w:pPr>
        <w:ind w:left="4320" w:hanging="360"/>
      </w:pPr>
      <w:rPr>
        <w:rFonts w:hint="default" w:ascii="Wingdings" w:hAnsi="Wingdings"/>
      </w:rPr>
    </w:lvl>
    <w:lvl w:ilvl="6" w:tplc="2AFECF0C">
      <w:start w:val="1"/>
      <w:numFmt w:val="bullet"/>
      <w:lvlText w:val=""/>
      <w:lvlJc w:val="left"/>
      <w:pPr>
        <w:ind w:left="5040" w:hanging="360"/>
      </w:pPr>
      <w:rPr>
        <w:rFonts w:hint="default" w:ascii="Symbol" w:hAnsi="Symbol"/>
      </w:rPr>
    </w:lvl>
    <w:lvl w:ilvl="7" w:tplc="BD06187E">
      <w:start w:val="1"/>
      <w:numFmt w:val="bullet"/>
      <w:lvlText w:val="o"/>
      <w:lvlJc w:val="left"/>
      <w:pPr>
        <w:ind w:left="5760" w:hanging="360"/>
      </w:pPr>
      <w:rPr>
        <w:rFonts w:hint="default" w:ascii="Courier New" w:hAnsi="Courier New"/>
      </w:rPr>
    </w:lvl>
    <w:lvl w:ilvl="8" w:tplc="E49A79C0">
      <w:start w:val="1"/>
      <w:numFmt w:val="bullet"/>
      <w:lvlText w:val=""/>
      <w:lvlJc w:val="left"/>
      <w:pPr>
        <w:ind w:left="6480" w:hanging="360"/>
      </w:pPr>
      <w:rPr>
        <w:rFonts w:hint="default" w:ascii="Wingdings" w:hAnsi="Wingdings"/>
      </w:rPr>
    </w:lvl>
  </w:abstractNum>
  <w:num w:numId="1" w16cid:durableId="1762683490">
    <w:abstractNumId w:val="0"/>
  </w:num>
  <w:num w:numId="2" w16cid:durableId="1442530598">
    <w:abstractNumId w:val="2"/>
  </w:num>
  <w:num w:numId="3" w16cid:durableId="285085535">
    <w:abstractNumId w:val="3"/>
  </w:num>
  <w:num w:numId="4" w16cid:durableId="1375739077">
    <w:abstractNumId w:val="5"/>
  </w:num>
  <w:num w:numId="5" w16cid:durableId="26833808">
    <w:abstractNumId w:val="4"/>
  </w:num>
  <w:num w:numId="6" w16cid:durableId="162791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3"/>
    <w:rsid w:val="00003E83"/>
    <w:rsid w:val="000377E1"/>
    <w:rsid w:val="00044A09"/>
    <w:rsid w:val="000A10FF"/>
    <w:rsid w:val="000E1E54"/>
    <w:rsid w:val="00135097"/>
    <w:rsid w:val="001523AA"/>
    <w:rsid w:val="00161F9B"/>
    <w:rsid w:val="001640E0"/>
    <w:rsid w:val="00174643"/>
    <w:rsid w:val="00186A77"/>
    <w:rsid w:val="001A1FCB"/>
    <w:rsid w:val="001C1C7E"/>
    <w:rsid w:val="001E5436"/>
    <w:rsid w:val="00215480"/>
    <w:rsid w:val="00235B08"/>
    <w:rsid w:val="002B02FC"/>
    <w:rsid w:val="002D1A03"/>
    <w:rsid w:val="002E067C"/>
    <w:rsid w:val="00331C84"/>
    <w:rsid w:val="003366DD"/>
    <w:rsid w:val="00356906"/>
    <w:rsid w:val="003A5888"/>
    <w:rsid w:val="003E138E"/>
    <w:rsid w:val="003F1847"/>
    <w:rsid w:val="003F41E4"/>
    <w:rsid w:val="003F701A"/>
    <w:rsid w:val="00446F7A"/>
    <w:rsid w:val="004517D8"/>
    <w:rsid w:val="0046652C"/>
    <w:rsid w:val="00473AD2"/>
    <w:rsid w:val="00490F83"/>
    <w:rsid w:val="00491ACD"/>
    <w:rsid w:val="004D1571"/>
    <w:rsid w:val="004D6D14"/>
    <w:rsid w:val="004E02B5"/>
    <w:rsid w:val="004F5D1A"/>
    <w:rsid w:val="005D7E92"/>
    <w:rsid w:val="005E51B3"/>
    <w:rsid w:val="00604319"/>
    <w:rsid w:val="00610DCC"/>
    <w:rsid w:val="00643E2E"/>
    <w:rsid w:val="00652860"/>
    <w:rsid w:val="00671A96"/>
    <w:rsid w:val="00682580"/>
    <w:rsid w:val="00760D2C"/>
    <w:rsid w:val="00765289"/>
    <w:rsid w:val="007B66ED"/>
    <w:rsid w:val="007C4E0F"/>
    <w:rsid w:val="007D61D6"/>
    <w:rsid w:val="00810B54"/>
    <w:rsid w:val="0082346B"/>
    <w:rsid w:val="00824C08"/>
    <w:rsid w:val="00827983"/>
    <w:rsid w:val="00836723"/>
    <w:rsid w:val="008456AD"/>
    <w:rsid w:val="00850436"/>
    <w:rsid w:val="00864B5E"/>
    <w:rsid w:val="00874CA5"/>
    <w:rsid w:val="0088004E"/>
    <w:rsid w:val="008923C7"/>
    <w:rsid w:val="008C73AA"/>
    <w:rsid w:val="008E2092"/>
    <w:rsid w:val="008F07E0"/>
    <w:rsid w:val="00933FBD"/>
    <w:rsid w:val="00957EAF"/>
    <w:rsid w:val="0096091E"/>
    <w:rsid w:val="009822DC"/>
    <w:rsid w:val="0099146C"/>
    <w:rsid w:val="009A6EE4"/>
    <w:rsid w:val="009C47CB"/>
    <w:rsid w:val="009D477A"/>
    <w:rsid w:val="009F3F59"/>
    <w:rsid w:val="00A051D6"/>
    <w:rsid w:val="00A10463"/>
    <w:rsid w:val="00A11E83"/>
    <w:rsid w:val="00A12D3A"/>
    <w:rsid w:val="00A271B5"/>
    <w:rsid w:val="00A661E0"/>
    <w:rsid w:val="00AA4CDB"/>
    <w:rsid w:val="00AA6A9B"/>
    <w:rsid w:val="00AB5A74"/>
    <w:rsid w:val="00AC1EDA"/>
    <w:rsid w:val="00AC7D93"/>
    <w:rsid w:val="00AD5B7B"/>
    <w:rsid w:val="00AF5E97"/>
    <w:rsid w:val="00B47373"/>
    <w:rsid w:val="00B50CB3"/>
    <w:rsid w:val="00B54DCD"/>
    <w:rsid w:val="00B657ED"/>
    <w:rsid w:val="00B7499B"/>
    <w:rsid w:val="00B77E0A"/>
    <w:rsid w:val="00B85384"/>
    <w:rsid w:val="00BA0A66"/>
    <w:rsid w:val="00BA4BAF"/>
    <w:rsid w:val="00BA628E"/>
    <w:rsid w:val="00C43520"/>
    <w:rsid w:val="00C73885"/>
    <w:rsid w:val="00CB2620"/>
    <w:rsid w:val="00CC2C0E"/>
    <w:rsid w:val="00CF28EE"/>
    <w:rsid w:val="00CF298D"/>
    <w:rsid w:val="00CF679C"/>
    <w:rsid w:val="00D32766"/>
    <w:rsid w:val="00D73EFD"/>
    <w:rsid w:val="00D76EED"/>
    <w:rsid w:val="00D80E7F"/>
    <w:rsid w:val="00D85B99"/>
    <w:rsid w:val="00DA66AA"/>
    <w:rsid w:val="00DC38B0"/>
    <w:rsid w:val="00DF0DE6"/>
    <w:rsid w:val="00DF2A63"/>
    <w:rsid w:val="00E230AF"/>
    <w:rsid w:val="00E50C22"/>
    <w:rsid w:val="00E64C94"/>
    <w:rsid w:val="00E6761F"/>
    <w:rsid w:val="00E85B24"/>
    <w:rsid w:val="00ED1FAB"/>
    <w:rsid w:val="00ED2D22"/>
    <w:rsid w:val="00F04E05"/>
    <w:rsid w:val="00F35031"/>
    <w:rsid w:val="00F35069"/>
    <w:rsid w:val="00F424BB"/>
    <w:rsid w:val="00F7681F"/>
    <w:rsid w:val="00FB491B"/>
    <w:rsid w:val="1572A46A"/>
    <w:rsid w:val="1B205B5A"/>
    <w:rsid w:val="2DB0C587"/>
    <w:rsid w:val="331F5544"/>
    <w:rsid w:val="43A2BA37"/>
    <w:rsid w:val="52957135"/>
    <w:rsid w:val="53FF69D1"/>
    <w:rsid w:val="5F09420D"/>
    <w:rsid w:val="6C0E1986"/>
    <w:rsid w:val="709D9BB0"/>
    <w:rsid w:val="74BAA68A"/>
    <w:rsid w:val="7FA2CA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9227"/>
  <w15:chartTrackingRefBased/>
  <w15:docId w15:val="{75F0777F-85D2-4FDD-AD4A-3379049B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Text"/>
    <w:uiPriority w:val="4"/>
    <w:qFormat/>
    <w:rsid w:val="00836723"/>
    <w:pPr>
      <w:spacing w:after="0" w:line="260" w:lineRule="atLeast"/>
    </w:pPr>
    <w:rPr>
      <w:rFonts w:ascii="Source Sans Pro" w:hAnsi="Source Sans Pro" w:eastAsia="Times New Roman" w:cs="Times New Roman"/>
      <w:szCs w:val="24"/>
      <w:lang w:eastAsia="en-GB"/>
    </w:rPr>
  </w:style>
  <w:style w:type="paragraph" w:styleId="Heading1">
    <w:name w:val="heading 1"/>
    <w:aliases w:val="~Title"/>
    <w:basedOn w:val="Normal"/>
    <w:next w:val="Heading2"/>
    <w:link w:val="Heading1Char"/>
    <w:qFormat/>
    <w:rsid w:val="00836723"/>
    <w:pPr>
      <w:pageBreakBefore/>
      <w:spacing w:line="680" w:lineRule="atLeast"/>
      <w:outlineLvl w:val="0"/>
    </w:pPr>
    <w:rPr>
      <w:rFonts w:eastAsiaTheme="majorEastAsia" w:cstheme="majorBidi"/>
      <w:bCs/>
      <w:sz w:val="64"/>
      <w:szCs w:val="28"/>
    </w:rPr>
  </w:style>
  <w:style w:type="paragraph" w:styleId="Heading2">
    <w:name w:val="heading 2"/>
    <w:aliases w:val="~Subtitle"/>
    <w:basedOn w:val="Normal"/>
    <w:next w:val="Normal"/>
    <w:link w:val="Heading2Char"/>
    <w:uiPriority w:val="1"/>
    <w:qFormat/>
    <w:rsid w:val="00836723"/>
    <w:pPr>
      <w:tabs>
        <w:tab w:val="left" w:pos="0"/>
      </w:tabs>
      <w:spacing w:after="240" w:line="320" w:lineRule="atLeast"/>
      <w:ind w:left="-1134" w:firstLine="1134"/>
      <w:outlineLvl w:val="1"/>
    </w:pPr>
    <w:rPr>
      <w:rFonts w:eastAsiaTheme="majorEastAsia" w:cstheme="majorBidi"/>
      <w:bCs/>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itle Char"/>
    <w:basedOn w:val="DefaultParagraphFont"/>
    <w:link w:val="Heading1"/>
    <w:rsid w:val="00836723"/>
    <w:rPr>
      <w:rFonts w:ascii="Source Sans Pro" w:hAnsi="Source Sans Pro" w:eastAsiaTheme="majorEastAsia" w:cstheme="majorBidi"/>
      <w:bCs/>
      <w:sz w:val="64"/>
      <w:szCs w:val="28"/>
      <w:lang w:eastAsia="en-GB"/>
    </w:rPr>
  </w:style>
  <w:style w:type="character" w:styleId="Heading2Char" w:customStyle="1">
    <w:name w:val="Heading 2 Char"/>
    <w:aliases w:val="~Subtitle Char"/>
    <w:basedOn w:val="DefaultParagraphFont"/>
    <w:link w:val="Heading2"/>
    <w:uiPriority w:val="1"/>
    <w:rsid w:val="00836723"/>
    <w:rPr>
      <w:rFonts w:ascii="Source Sans Pro" w:hAnsi="Source Sans Pro" w:eastAsiaTheme="majorEastAsia" w:cstheme="majorBidi"/>
      <w:bCs/>
      <w:sz w:val="32"/>
      <w:szCs w:val="26"/>
      <w:lang w:eastAsia="en-GB"/>
    </w:rPr>
  </w:style>
  <w:style w:type="paragraph" w:styleId="Header">
    <w:name w:val="header"/>
    <w:basedOn w:val="Normal"/>
    <w:link w:val="HeaderChar"/>
    <w:uiPriority w:val="19"/>
    <w:semiHidden/>
    <w:rsid w:val="00836723"/>
    <w:pPr>
      <w:tabs>
        <w:tab w:val="center" w:pos="4153"/>
        <w:tab w:val="right" w:pos="8306"/>
      </w:tabs>
    </w:pPr>
  </w:style>
  <w:style w:type="character" w:styleId="HeaderChar" w:customStyle="1">
    <w:name w:val="Header Char"/>
    <w:basedOn w:val="DefaultParagraphFont"/>
    <w:link w:val="Header"/>
    <w:uiPriority w:val="19"/>
    <w:semiHidden/>
    <w:rsid w:val="00836723"/>
    <w:rPr>
      <w:rFonts w:ascii="Source Sans Pro" w:hAnsi="Source Sans Pro" w:eastAsia="Times New Roman" w:cs="Times New Roman"/>
      <w:szCs w:val="24"/>
      <w:lang w:eastAsia="en-GB"/>
    </w:rPr>
  </w:style>
  <w:style w:type="paragraph" w:styleId="Footer" w:customStyle="1">
    <w:name w:val="~Footer"/>
    <w:basedOn w:val="Normal"/>
    <w:uiPriority w:val="19"/>
    <w:semiHidden/>
    <w:rsid w:val="00836723"/>
    <w:pPr>
      <w:spacing w:line="180" w:lineRule="atLeast"/>
    </w:pPr>
    <w:rPr>
      <w:rFonts w:ascii="AQA Chevin Pro Light" w:hAnsi="AQA Chevin Pro Light"/>
      <w:color w:val="000000"/>
      <w:sz w:val="16"/>
      <w:szCs w:val="16"/>
    </w:rPr>
  </w:style>
  <w:style w:type="table" w:styleId="TableGrid">
    <w:name w:val="Table Grid"/>
    <w:basedOn w:val="TableNormal"/>
    <w:rsid w:val="00836723"/>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roduction" w:customStyle="1">
    <w:name w:val="~Introduction"/>
    <w:basedOn w:val="Normal"/>
    <w:next w:val="Normal"/>
    <w:uiPriority w:val="5"/>
    <w:qFormat/>
    <w:rsid w:val="00836723"/>
    <w:rPr>
      <w:b/>
    </w:rPr>
  </w:style>
  <w:style w:type="paragraph" w:styleId="HeaderAQA" w:customStyle="1">
    <w:name w:val="HeaderAQA"/>
    <w:basedOn w:val="Header"/>
    <w:uiPriority w:val="19"/>
    <w:semiHidden/>
    <w:qFormat/>
    <w:rsid w:val="00836723"/>
    <w:pPr>
      <w:spacing w:after="1200"/>
    </w:pPr>
  </w:style>
  <w:style w:type="paragraph" w:styleId="AQAfooter8ptleftaligned" w:customStyle="1">
    <w:name w:val="AQA footer 8pt left aligned"/>
    <w:basedOn w:val="Footer"/>
    <w:uiPriority w:val="4"/>
    <w:qFormat/>
    <w:rsid w:val="00836723"/>
    <w:pPr>
      <w:tabs>
        <w:tab w:val="left" w:pos="2115"/>
      </w:tabs>
    </w:pPr>
    <w:rPr>
      <w:rFonts w:ascii="Source Sans Pro Light" w:hAnsi="Source Sans Pro Light"/>
    </w:rPr>
  </w:style>
  <w:style w:type="paragraph" w:styleId="AQAfooter8ptrightaligned" w:customStyle="1">
    <w:name w:val="AQA footer 8pt right aligned"/>
    <w:basedOn w:val="Footer"/>
    <w:uiPriority w:val="4"/>
    <w:qFormat/>
    <w:rsid w:val="00836723"/>
    <w:pPr>
      <w:jc w:val="right"/>
    </w:pPr>
    <w:rPr>
      <w:rFonts w:ascii="Source Sans Pro Light" w:hAnsi="Source Sans Pro Light"/>
    </w:rPr>
  </w:style>
  <w:style w:type="paragraph" w:styleId="ListParagraph">
    <w:name w:val="List Paragraph"/>
    <w:basedOn w:val="Normal"/>
    <w:uiPriority w:val="34"/>
    <w:qFormat/>
    <w:rsid w:val="00643E2E"/>
    <w:pPr>
      <w:ind w:left="720"/>
      <w:contextualSpacing/>
    </w:pPr>
  </w:style>
  <w:style w:type="paragraph" w:styleId="Footer0">
    <w:name w:val="footer"/>
    <w:basedOn w:val="Normal"/>
    <w:link w:val="FooterChar"/>
    <w:uiPriority w:val="99"/>
    <w:unhideWhenUsed/>
    <w:rsid w:val="008C73AA"/>
    <w:pPr>
      <w:tabs>
        <w:tab w:val="center" w:pos="4513"/>
        <w:tab w:val="right" w:pos="9026"/>
      </w:tabs>
      <w:spacing w:line="240" w:lineRule="auto"/>
    </w:pPr>
  </w:style>
  <w:style w:type="character" w:styleId="FooterChar" w:customStyle="1">
    <w:name w:val="Footer Char"/>
    <w:basedOn w:val="DefaultParagraphFont"/>
    <w:link w:val="Footer0"/>
    <w:uiPriority w:val="99"/>
    <w:rsid w:val="008C73AA"/>
    <w:rPr>
      <w:rFonts w:ascii="Source Sans Pro" w:hAnsi="Source Sans Pro" w:eastAsia="Times New Roman" w:cs="Times New Roman"/>
      <w:szCs w:val="24"/>
      <w:lang w:eastAsia="en-GB"/>
    </w:rPr>
  </w:style>
  <w:style w:type="paragraph" w:styleId="Revision">
    <w:name w:val="Revision"/>
    <w:hidden/>
    <w:uiPriority w:val="99"/>
    <w:semiHidden/>
    <w:rsid w:val="00933FBD"/>
    <w:pPr>
      <w:spacing w:after="0" w:line="240" w:lineRule="auto"/>
    </w:pPr>
    <w:rPr>
      <w:rFonts w:ascii="Source Sans Pro" w:hAnsi="Source Sans Pro" w:eastAsia="Times New Roman" w:cs="Times New Roman"/>
      <w:szCs w:val="24"/>
      <w:lang w:eastAsia="en-GB"/>
    </w:rPr>
  </w:style>
  <w:style w:type="character" w:styleId="CommentReference">
    <w:name w:val="annotation reference"/>
    <w:basedOn w:val="DefaultParagraphFont"/>
    <w:uiPriority w:val="99"/>
    <w:semiHidden/>
    <w:unhideWhenUsed/>
    <w:rsid w:val="00AC1EDA"/>
    <w:rPr>
      <w:sz w:val="16"/>
      <w:szCs w:val="16"/>
    </w:rPr>
  </w:style>
  <w:style w:type="paragraph" w:styleId="CommentText">
    <w:name w:val="annotation text"/>
    <w:basedOn w:val="Normal"/>
    <w:link w:val="CommentTextChar"/>
    <w:uiPriority w:val="99"/>
    <w:unhideWhenUsed/>
    <w:rsid w:val="00AC1EDA"/>
    <w:pPr>
      <w:spacing w:line="240" w:lineRule="auto"/>
    </w:pPr>
    <w:rPr>
      <w:sz w:val="20"/>
      <w:szCs w:val="20"/>
    </w:rPr>
  </w:style>
  <w:style w:type="character" w:styleId="CommentTextChar" w:customStyle="1">
    <w:name w:val="Comment Text Char"/>
    <w:basedOn w:val="DefaultParagraphFont"/>
    <w:link w:val="CommentText"/>
    <w:uiPriority w:val="99"/>
    <w:rsid w:val="00AC1EDA"/>
    <w:rPr>
      <w:rFonts w:ascii="Source Sans Pro" w:hAnsi="Source Sans Pro"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1EDA"/>
    <w:rPr>
      <w:b/>
      <w:bCs/>
    </w:rPr>
  </w:style>
  <w:style w:type="character" w:styleId="CommentSubjectChar" w:customStyle="1">
    <w:name w:val="Comment Subject Char"/>
    <w:basedOn w:val="CommentTextChar"/>
    <w:link w:val="CommentSubject"/>
    <w:uiPriority w:val="99"/>
    <w:semiHidden/>
    <w:rsid w:val="00AC1EDA"/>
    <w:rPr>
      <w:rFonts w:ascii="Source Sans Pro" w:hAnsi="Source Sans Pro" w:eastAsia="Times New Roman" w:cs="Times New Roman"/>
      <w:b/>
      <w:bCs/>
      <w:sz w:val="20"/>
      <w:szCs w:val="20"/>
      <w:lang w:eastAsia="en-GB"/>
    </w:rPr>
  </w:style>
  <w:style w:type="character" w:styleId="Hyperlink">
    <w:name w:val="Hyperlink"/>
    <w:basedOn w:val="DefaultParagraphFont"/>
    <w:uiPriority w:val="99"/>
    <w:unhideWhenUsed/>
    <w:rsid w:val="00003E83"/>
    <w:rPr>
      <w:color w:val="0563C1" w:themeColor="hyperlink"/>
      <w:u w:val="single"/>
    </w:rPr>
  </w:style>
  <w:style w:type="character" w:styleId="UnresolvedMention">
    <w:name w:val="Unresolved Mention"/>
    <w:basedOn w:val="DefaultParagraphFont"/>
    <w:uiPriority w:val="99"/>
    <w:semiHidden/>
    <w:unhideWhenUsed/>
    <w:rsid w:val="00003E83"/>
    <w:rPr>
      <w:color w:val="605E5C"/>
      <w:shd w:val="clear" w:color="auto" w:fill="E1DFDD"/>
    </w:rPr>
  </w:style>
  <w:style w:type="character" w:styleId="Mention">
    <w:name w:val="Mention"/>
    <w:basedOn w:val="DefaultParagraphFont"/>
    <w:uiPriority w:val="99"/>
    <w:unhideWhenUsed/>
    <w:rsid w:val="009F3F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ilestore.aqa.org.uk/content/about-us/education-policy/AQA-TOWARDS-NEW-ASSESSMENTS-NLD.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olicy@aqa.org.uk" TargetMode="External" Id="rId9" /><Relationship Type="http://schemas.openxmlformats.org/officeDocument/2006/relationships/fontTable" Target="fontTable.xml" Id="rId14" /><Relationship Type="http://schemas.openxmlformats.org/officeDocument/2006/relationships/hyperlink" Target="https://www.aqa.org.uk/stride" TargetMode="External" Id="Rcda3a14a0e354ed1"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DA47-5B49-4313-8B0A-E7B8682A9A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AQA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Jarrett, Charley</dc:creator>
  <keywords/>
  <dc:description/>
  <lastModifiedBy>Clare Fraser</lastModifiedBy>
  <revision>10</revision>
  <dcterms:created xsi:type="dcterms:W3CDTF">2025-03-11T11:29:00.0000000Z</dcterms:created>
  <dcterms:modified xsi:type="dcterms:W3CDTF">2025-03-11T13:44:37.3216953Z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2025-01-14T13:19:21Z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b883b620-4bb7-4692-af2a-3fc97246944d</vt:lpwstr>
  </property>
  <property fmtid="{D5CDD505-2E9C-101B-9397-08002B2CF9AE}" pid="8" name="MSIP_Label_91acd197-20b5-43df-a901-28d53622fc7e_ContentBits">
    <vt:lpwstr>0</vt:lpwstr>
  </property>
</Properties>
</file>